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276"/>
        <w:gridCol w:w="1134"/>
        <w:gridCol w:w="2285"/>
        <w:gridCol w:w="4594"/>
        <w:gridCol w:w="1591"/>
      </w:tblGrid>
      <w:tr w:rsidR="00027CBA" w:rsidRPr="00027CBA" w:rsidTr="00027CBA">
        <w:trPr>
          <w:trHeight w:val="255"/>
        </w:trPr>
        <w:tc>
          <w:tcPr>
            <w:tcW w:w="1276"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Level</w:t>
            </w:r>
          </w:p>
        </w:tc>
        <w:tc>
          <w:tcPr>
            <w:tcW w:w="1134"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p>
        </w:tc>
        <w:tc>
          <w:tcPr>
            <w:tcW w:w="2285"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Provinsi Riau</w:t>
            </w:r>
          </w:p>
        </w:tc>
        <w:tc>
          <w:tcPr>
            <w:tcW w:w="4594"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p>
        </w:tc>
        <w:tc>
          <w:tcPr>
            <w:tcW w:w="1591" w:type="dxa"/>
            <w:tcBorders>
              <w:top w:val="nil"/>
              <w:left w:val="nil"/>
              <w:bottom w:val="nil"/>
              <w:right w:val="nil"/>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255"/>
        </w:trPr>
        <w:tc>
          <w:tcPr>
            <w:tcW w:w="1276"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Komponen</w:t>
            </w:r>
          </w:p>
        </w:tc>
        <w:tc>
          <w:tcPr>
            <w:tcW w:w="1134"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p>
        </w:tc>
        <w:tc>
          <w:tcPr>
            <w:tcW w:w="6879"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A. Hukum dan Kebijakan</w:t>
            </w:r>
          </w:p>
        </w:tc>
        <w:tc>
          <w:tcPr>
            <w:tcW w:w="1591" w:type="dxa"/>
            <w:tcBorders>
              <w:top w:val="nil"/>
              <w:left w:val="nil"/>
              <w:bottom w:val="nil"/>
              <w:right w:val="nil"/>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255"/>
        </w:trPr>
        <w:tc>
          <w:tcPr>
            <w:tcW w:w="1276" w:type="dxa"/>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285" w:type="dxa"/>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594" w:type="dxa"/>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255"/>
        </w:trPr>
        <w:tc>
          <w:tcPr>
            <w:tcW w:w="2410"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Isu dalam PGA REDD+</w:t>
            </w:r>
          </w:p>
        </w:tc>
        <w:tc>
          <w:tcPr>
            <w:tcW w:w="6879"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xml:space="preserve">:  I. Perencanaan Kehutanan dan Tata Ruang </w:t>
            </w:r>
          </w:p>
        </w:tc>
        <w:tc>
          <w:tcPr>
            <w:tcW w:w="1591"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255"/>
        </w:trPr>
        <w:tc>
          <w:tcPr>
            <w:tcW w:w="1276"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8470" w:type="dxa"/>
            <w:gridSpan w:val="3"/>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xml:space="preserve">: a. Keberadaan dan komprehensiveness aturan yang mengatur transparansi penyusunan perencanaan kehutanan dan Rencana Tata Ruang dan Rencana Wilayah (RTRW) </w:t>
            </w:r>
          </w:p>
        </w:tc>
      </w:tr>
      <w:tr w:rsidR="00027CBA" w:rsidRPr="00027CBA" w:rsidTr="00027CBA">
        <w:trPr>
          <w:trHeight w:val="975"/>
        </w:trPr>
        <w:tc>
          <w:tcPr>
            <w:tcW w:w="2410"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Objek Analisis</w:t>
            </w:r>
          </w:p>
        </w:tc>
        <w:tc>
          <w:tcPr>
            <w:tcW w:w="8470" w:type="dxa"/>
            <w:gridSpan w:val="3"/>
            <w:tcBorders>
              <w:top w:val="nil"/>
              <w:left w:val="nil"/>
              <w:bottom w:val="single" w:sz="4" w:space="0" w:color="auto"/>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bl>
    <w:p w:rsidR="00D74DB4" w:rsidRDefault="00D74DB4"/>
    <w:tbl>
      <w:tblPr>
        <w:tblW w:w="4953" w:type="pct"/>
        <w:tblInd w:w="103" w:type="dxa"/>
        <w:tblLook w:val="04A0"/>
      </w:tblPr>
      <w:tblGrid>
        <w:gridCol w:w="1139"/>
        <w:gridCol w:w="2127"/>
        <w:gridCol w:w="1337"/>
        <w:gridCol w:w="4623"/>
        <w:gridCol w:w="1659"/>
      </w:tblGrid>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nil"/>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AIa1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Data/informasi pembuatan RTRW</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Peta pengajuan update</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xml:space="preserve">Peta Up date pengajuan Kabupaten Siak dan Pelalawan kepada Tim Terpadu (Timdu) Provinsi </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2</w:t>
            </w:r>
          </w:p>
        </w:tc>
      </w:tr>
      <w:tr w:rsidR="00027CBA" w:rsidRPr="00027CBA" w:rsidTr="00027CBA">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AIa2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Informasi rencana pembentukan RTRW(P)</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xml:space="preserve">Tim Terpadu belum dapat merelease draft karena masih banyak perubahan </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AIa3</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Pengumuman usulan perubahan peruntukan</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xml:space="preserve">Tim Terpadu belum dapat merelease draft karena masih banyak perubahan </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AIa4</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Kejelasan informasi  yang dapat diakses berdasarkan uji konsekuensi</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xml:space="preserve">Tim Terpadu belum dapat merelease draft karena masih banyak perubahan </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66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b. Keberadaan dan komprehensiveness aturan yang mengatur penyusunan perencanaan kehutanan dan Rencana Tata Ruang dan Rencana Wilayah (RTRW) yang partisipatif</w:t>
            </w:r>
          </w:p>
        </w:tc>
      </w:tr>
      <w:tr w:rsidR="00027CBA" w:rsidRPr="00027CBA" w:rsidTr="00027CBA">
        <w:trPr>
          <w:trHeight w:val="1035"/>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Objek Analisis</w:t>
            </w:r>
          </w:p>
        </w:tc>
        <w:tc>
          <w:tcPr>
            <w:tcW w:w="7619" w:type="dxa"/>
            <w:gridSpan w:val="3"/>
            <w:tcBorders>
              <w:top w:val="nil"/>
              <w:left w:val="nil"/>
              <w:bottom w:val="single" w:sz="4" w:space="0" w:color="auto"/>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nil"/>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102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AIb1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Mekanisme pengambilan keputusan yang memudahkan keterlibatan pihak yang berkepentingan</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Dokumen RTRWP belum dapat direlease karena masih dalam pengajuan untuk disahkan oleh Kementerian Kehutanan</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AIb2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Petugas khusus yang bertanggung jawab mengelola masukan publik</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Tim Terpadu Provinsi untuk padu serasi RTRWP dan TGHK Riau</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2</w:t>
            </w:r>
          </w:p>
        </w:tc>
      </w:tr>
      <w:tr w:rsidR="00027CBA" w:rsidRPr="00027CBA" w:rsidTr="00027CBA">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AIb3</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Dokumentasi setiap masukan (tertulis/tidak tertulis)</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Tertulis, tapi berkaitan dengan RTRWP belum dapat release</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AIb4</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Mekanisme respon terhadap masukan yang ada</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final</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AIb5</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Penjelasan atas keputusan akhir yang diambil</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final</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AIb6</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Pelaksanaan proses partisipasi</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final</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60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c. Keberadaan dan komprehensiveness aturan yang mengatur program peningkatan kapasitas masyarakat dalam proses perencanaan kehutanan dan Rencana Tata Ruang dan Rencana Wilayah (RTRW)</w:t>
            </w:r>
          </w:p>
        </w:tc>
      </w:tr>
      <w:tr w:rsidR="00027CBA" w:rsidRPr="00027CBA" w:rsidTr="00027CBA">
        <w:trPr>
          <w:trHeight w:val="1230"/>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lastRenderedPageBreak/>
              <w:t>Objek Analisis</w:t>
            </w:r>
          </w:p>
        </w:tc>
        <w:tc>
          <w:tcPr>
            <w:tcW w:w="7619" w:type="dxa"/>
            <w:gridSpan w:val="3"/>
            <w:tcBorders>
              <w:top w:val="nil"/>
              <w:left w:val="nil"/>
              <w:bottom w:val="single" w:sz="4" w:space="0" w:color="auto"/>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 RPJMN/D, Renstranas/da</w:t>
            </w:r>
          </w:p>
        </w:tc>
      </w:tr>
      <w:tr w:rsidR="00027CBA" w:rsidRPr="00027CBA" w:rsidTr="00027CBA">
        <w:trPr>
          <w:trHeight w:val="255"/>
        </w:trPr>
        <w:tc>
          <w:tcPr>
            <w:tcW w:w="1139" w:type="dxa"/>
            <w:tcBorders>
              <w:top w:val="single" w:sz="4" w:space="0" w:color="auto"/>
              <w:left w:val="single" w:sz="4" w:space="0" w:color="auto"/>
              <w:bottom w:val="nil"/>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nil"/>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nil"/>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nil"/>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nil"/>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102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AIc1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Program peningkatan kapasitas masyarakat Adat/ Lokal dalam perencanaan kehutanan dan wilayah</w:t>
            </w:r>
          </w:p>
        </w:tc>
        <w:tc>
          <w:tcPr>
            <w:tcW w:w="1337" w:type="dxa"/>
            <w:tcBorders>
              <w:top w:val="single" w:sz="4" w:space="0" w:color="auto"/>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single" w:sz="4" w:space="0" w:color="auto"/>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single" w:sz="4" w:space="0" w:color="auto"/>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AIc2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Program peningkatan kapasitas pemerintah dalam perencanaan kehuatanan dan wilayah</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Sementara masih terfokus pada proses pengajuan RTRWP Riau pengganti TGHK/1986 ke Kementerian Kehutanan</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94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d. Keberadaan dan komprehensiveness aturan yang mengatur Mekanisme penanganan pengaduan dalam proses perencanaan kehutanan dan Rencana Tata Ruang dan Rencana Wilayah (RTRW)</w:t>
            </w:r>
          </w:p>
        </w:tc>
      </w:tr>
      <w:tr w:rsidR="00027CBA" w:rsidRPr="00027CBA" w:rsidTr="00027CBA">
        <w:trPr>
          <w:trHeight w:val="1005"/>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027CBA" w:rsidRPr="00027CBA" w:rsidTr="00027CBA">
        <w:trPr>
          <w:trHeight w:val="255"/>
        </w:trPr>
        <w:tc>
          <w:tcPr>
            <w:tcW w:w="1139" w:type="dxa"/>
            <w:tcBorders>
              <w:top w:val="single" w:sz="4" w:space="0" w:color="auto"/>
              <w:left w:val="single" w:sz="4" w:space="0" w:color="auto"/>
              <w:bottom w:val="nil"/>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nil"/>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nil"/>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nil"/>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nil"/>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76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AId1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Mekanisme pengaduan (termasuk ketentuan tenggat waktu &amp; tindakan yang diambil)</w:t>
            </w:r>
          </w:p>
        </w:tc>
        <w:tc>
          <w:tcPr>
            <w:tcW w:w="1337" w:type="dxa"/>
            <w:tcBorders>
              <w:top w:val="single" w:sz="4" w:space="0" w:color="auto"/>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xml:space="preserve">SOP atau peraturan yang berkaitan dengan indikator belum disusun, tapi NGO memiliki. </w:t>
            </w:r>
          </w:p>
        </w:tc>
        <w:tc>
          <w:tcPr>
            <w:tcW w:w="1659" w:type="dxa"/>
            <w:tcBorders>
              <w:top w:val="single" w:sz="4" w:space="0" w:color="auto"/>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3</w:t>
            </w:r>
          </w:p>
        </w:tc>
      </w:tr>
      <w:tr w:rsidR="00027CBA" w:rsidRPr="00027CBA" w:rsidTr="00027CBA">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AId2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Mekanisme resolusi konflik</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xml:space="preserve">Scale Up memiliki mekanisme resolusi konflik yang diterapkan pada masyarakat dampingan. </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3</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AId3</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Keahlian &amp; pemahaman mediator tentang isu-isu masyarakat adat/lokal</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Scale Up memiliki 4 orang mediator bersertifikat yang memahami isu-isu masyarakat adat lokal.</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3</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330"/>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Isu dalam PGA REDD+</w:t>
            </w:r>
          </w:p>
        </w:tc>
        <w:tc>
          <w:tcPr>
            <w:tcW w:w="5960"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II.Pengaturan Hak</w:t>
            </w: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69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a. Keberadaan dan komprehensiveness aturan yang mengatur transparansi penetapan hak kelola hutan bagi masyarakat adat/lokal dan bisnis</w:t>
            </w:r>
          </w:p>
        </w:tc>
      </w:tr>
      <w:tr w:rsidR="00027CBA" w:rsidRPr="00027CBA" w:rsidTr="00027CBA">
        <w:trPr>
          <w:trHeight w:val="630"/>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Sumber (Undang2 keterbukaan informasi publik, PP, permenhut ttg pemberian ijin, pergub/bup (terkait kehutanan), Permenhut 7/2011</w:t>
            </w:r>
            <w:r w:rsidRPr="00027CBA">
              <w:rPr>
                <w:rFonts w:ascii="Times New Roman" w:eastAsia="Times New Roman" w:hAnsi="Times New Roman" w:cs="Times New Roman"/>
                <w:b/>
                <w:bCs/>
                <w:color w:val="000000"/>
                <w:sz w:val="20"/>
                <w:szCs w:val="20"/>
                <w:lang w:eastAsia="id-ID"/>
              </w:rPr>
              <w:br/>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AIIa1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Ketersediaan seluruh informasi secara sistematis sehingga mudah diakses</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AIIa2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Kewajiban memiliki petugas khusus yang menangani permintaan informasi</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lastRenderedPageBreak/>
              <w:t>AIIa3</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AIIa4</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Informasi yang diumumkan tentang rencana kegiatan/proyek yang disertai dengan dokumen pendukungnya</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AIIa5</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AIIa6</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Sanksi bagi pihak-pihak yang sengaja menghambat akses publik atas informasi</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90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b. Keberadaan dan komprehensiveness aturan yang mengatur pengakuan atas hak kelola hutan yang dimiliki oleh masyarakat adat, masyarakat lokal dan bisnis  terhadap hutan</w:t>
            </w:r>
          </w:p>
        </w:tc>
      </w:tr>
      <w:tr w:rsidR="00027CBA" w:rsidRPr="00027CBA" w:rsidTr="00027CBA">
        <w:trPr>
          <w:trHeight w:val="390"/>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UU, Permenhut, Perda</w:t>
            </w:r>
            <w:r w:rsidRPr="00027CBA">
              <w:rPr>
                <w:rFonts w:ascii="Times New Roman" w:eastAsia="Times New Roman" w:hAnsi="Times New Roman" w:cs="Times New Roman"/>
                <w:b/>
                <w:bCs/>
                <w:color w:val="000000"/>
                <w:sz w:val="20"/>
                <w:szCs w:val="20"/>
                <w:lang w:eastAsia="id-ID"/>
              </w:rPr>
              <w:br/>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AIIb1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Pengakuan atas pengelolaan wilayah adat/lokal (sejalan dengan struktur dan pola yang ada)</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AIIb2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Mekanisme mendapatkan izin pengelolaan</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AIIb3</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Keuntungan bagi masyarakat Adat/Lokal</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90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c. Keberadaan dan komprehensiveness aturan yang mengatur perlindungan terhadap hak kelola hutan yang telah diberikan kepada masyarakat adat, masyarakat lokal dan bisnis</w:t>
            </w:r>
          </w:p>
        </w:tc>
      </w:tr>
      <w:tr w:rsidR="00027CBA" w:rsidRPr="00027CBA" w:rsidTr="00027CBA">
        <w:trPr>
          <w:trHeight w:val="390"/>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UU, Permenhut, Perda</w:t>
            </w:r>
            <w:r w:rsidRPr="00027CBA">
              <w:rPr>
                <w:rFonts w:ascii="Times New Roman" w:eastAsia="Times New Roman" w:hAnsi="Times New Roman" w:cs="Times New Roman"/>
                <w:b/>
                <w:bCs/>
                <w:color w:val="000000"/>
                <w:sz w:val="20"/>
                <w:szCs w:val="20"/>
                <w:lang w:eastAsia="id-ID"/>
              </w:rPr>
              <w:br/>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AIIc1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Sanksi/ancaman hukum bagi yang melakukan perambahan (di atas lahan bebas konflik)</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AIIc2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Sanksi/ancaman hukum bagi pejabat pemberi izin (di atas lahan yang telah memiliki hak)</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lastRenderedPageBreak/>
              <w:t>AIIc3</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Ganti rugi bagi pemegang hak yang dirugikan (mudah &amp; memadai)</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90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d. Keberadaan dan komprehensiveness aturan yang mengatur program peningkatan kapasitas masyarakat untuk mengakses hak pengelolaan hutan</w:t>
            </w:r>
          </w:p>
        </w:tc>
      </w:tr>
      <w:tr w:rsidR="00027CBA" w:rsidRPr="00027CBA" w:rsidTr="00027CBA">
        <w:trPr>
          <w:trHeight w:val="390"/>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UU, Permenhut, Perda</w:t>
            </w:r>
            <w:r w:rsidRPr="00027CBA">
              <w:rPr>
                <w:rFonts w:ascii="Times New Roman" w:eastAsia="Times New Roman" w:hAnsi="Times New Roman" w:cs="Times New Roman"/>
                <w:b/>
                <w:bCs/>
                <w:color w:val="000000"/>
                <w:sz w:val="20"/>
                <w:szCs w:val="20"/>
                <w:lang w:eastAsia="id-ID"/>
              </w:rPr>
              <w:br/>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AIId1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Program peningkatan kapasitas masyarakat Adat/ Lokal untuk mengakses hak pengelolaan hutan</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AIId2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Program peningkatan kapasitas pemerintah (pada tingkatan) lebih rendah</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ada rencana, masih terfokus pada penyusunan RTRWP</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AIId3</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Mekanisme mengakses anggaran peningkatan kapasitas bagi masyarakat Adat/Lokal</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ada rencana, masih terfokus pada penyusunan RTRWP</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AIId4</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Program peningkatan kapasitas masyarakat dan Pemerintah Daerah secara partisipatif</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ada rencana, masih terfokus pada penyusunan RTRWP</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330"/>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Isu dalam PGA REDD+</w:t>
            </w:r>
          </w:p>
        </w:tc>
        <w:tc>
          <w:tcPr>
            <w:tcW w:w="5960"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III. Pengorganisasian Hutan</w:t>
            </w: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90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xml:space="preserve">: a. Keberadaan dan komprehensiveness aturan yang mengatur akuntablitas institusi pengelolaan hutan dan lahan gambut </w:t>
            </w:r>
          </w:p>
        </w:tc>
      </w:tr>
      <w:tr w:rsidR="00027CBA" w:rsidRPr="00027CBA" w:rsidTr="00027CBA">
        <w:trPr>
          <w:trHeight w:val="390"/>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UU, Permenhut</w:t>
            </w:r>
            <w:r w:rsidRPr="00027CBA">
              <w:rPr>
                <w:rFonts w:ascii="Times New Roman" w:eastAsia="Times New Roman" w:hAnsi="Times New Roman" w:cs="Times New Roman"/>
                <w:b/>
                <w:bCs/>
                <w:color w:val="000000"/>
                <w:sz w:val="20"/>
                <w:szCs w:val="20"/>
                <w:lang w:eastAsia="id-ID"/>
              </w:rPr>
              <w:br/>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382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AIIIa1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Kejelasan tugas &amp; wewenang pengelolaan hutan &amp; lahan gambut</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BBKSDA</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xml:space="preserve">Laporan Tahunan dan LAKIP BBKSDA Provinsi Riau BBKSDA dalam tupoksinya bertanggung jawab atas pengelolaan hutan gambut yaitu (1) Tasik Tanjung Padang di Kecamatan Merbau Kab. Bengkalis luas kawasan 4.922 Ham bertoografi datar dan merupakan ekosistem hutan hujan dataran rendah dengan tipe ekosistem rawa gambut; (2) Suaka Marga Satwa Tasik Belat, di kec. Sungai Apit Kab. Siak. Bertopografi datar dan merupakan ekosistem hutan hujan tropis dataran rendah dan bertipe ekosistem rawa/gambut.(3) Suaka Marga Satwa Tasik Besar/Tasik Metas luas 3.200 Ha, terletak di Kab. Pelalawan, ekosistem hutan hujan tropis dataran rendah yang bertipe ekosistem rawa gambut; (4) Suaka Marga satwa Tasik Serkap/Tasik sarang Burung luas 6.900 Ha, di Kab. Pelalawan bertopografi datar dan merupakan ekosistem hutan hujan dataran rendah dengan tipe ekosistem rawa gambut. </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4</w:t>
            </w:r>
          </w:p>
        </w:tc>
      </w:tr>
      <w:tr w:rsidR="00027CBA" w:rsidRPr="00027CBA" w:rsidTr="00027CBA">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lastRenderedPageBreak/>
              <w:t>AIIIa2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Transparansi output tahunan dan capaian institusi</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BBKSDA</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xml:space="preserve">Laporan Tahunan 2011 menyebutkan adanya Lokasi pelaksanaan kegiatan dan anggaran tahun 2011 dan LAKIP BBKSDA Provinsi Riau di Lokasi Pengelolaan Kawasan Konservasi Ekosistem Gambut sebesar Rp 54.800.000. </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4</w:t>
            </w:r>
          </w:p>
        </w:tc>
      </w:tr>
      <w:tr w:rsidR="00027CBA" w:rsidRPr="00027CBA" w:rsidTr="00027CBA">
        <w:trPr>
          <w:trHeight w:val="331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AIIIa3</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Anggaran berbasis kinerja (Budget based on performance)</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Dinas Kehutanan dan BBKSDA Riau</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Laporan Akuntabilitas Kinerja Pemerintah (LAKIP) 2011 menyebutkan bahwa anggaran berbasis kinerja dapat dilihat dalam LAKIP berkaitan dengan lahan gambut. BBKSDA dalam tupoksinya yaitu Pengelolaan kawasan cagar alam, taman wisata alam dan taman buru, serta konservasi tumbuhan dan satwa liar di dalam dan di luar konservasi menyebutkan adanya anggaran sosialisasi REDD di hutan gambut sebesar Rp 37.800.000 dan pengumpulan data dan informasi REDD dengan target tersedianya data REDD hutan gambut sebesar Rp 35.000.000. Anggaran ini meskipun terlihat kecil jika ditinjau dari total anggaran BBKSDA sebesar berdasarkan DIPA BA 29 (RM dan PNP) sebesar 29.812.060.000, namun terlihat dimulainya inisiatif untuk mempersiapkan rencana kegiatan REDD di hutan gambut.</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4</w:t>
            </w:r>
          </w:p>
        </w:tc>
      </w:tr>
      <w:tr w:rsidR="00027CBA" w:rsidRPr="00027CBA" w:rsidTr="00027CBA">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AIIIa4</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Desentralisasi (tugas &amp; wewenang) ke tingkat yang lebih rendah (disertai prinsip transparansi &amp; partisipasi)</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Dishut, Bappeda dan BBKSDA</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Struktur Organisasi Dinas Kehutanan, BBKSDA dan Bappeda Provinsi Riau</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3</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90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xml:space="preserve">: b. Keberadaan dan komprehensiveness aturan yang mengatur harmonisasi hukum dan kebijakan terkait dengan hutan dan lahan gambut </w:t>
            </w:r>
          </w:p>
        </w:tc>
      </w:tr>
      <w:tr w:rsidR="00027CBA" w:rsidRPr="00027CBA" w:rsidTr="00027CBA">
        <w:trPr>
          <w:trHeight w:val="390"/>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:(permenkum-ham) Cek dibiro hukum prov/kab</w:t>
            </w:r>
            <w:r w:rsidRPr="00027CBA">
              <w:rPr>
                <w:rFonts w:ascii="Times New Roman" w:eastAsia="Times New Roman" w:hAnsi="Times New Roman" w:cs="Times New Roman"/>
                <w:b/>
                <w:bCs/>
                <w:color w:val="000000"/>
                <w:sz w:val="20"/>
                <w:szCs w:val="20"/>
                <w:lang w:eastAsia="id-ID"/>
              </w:rPr>
              <w:br/>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AIIIb1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Kejelasan lembaga yang bertanggung jawab</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BBKSDA, Dishut dan TNTN</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xml:space="preserve">Peta Taman Nasional Tesso Nilo </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3</w:t>
            </w:r>
          </w:p>
        </w:tc>
      </w:tr>
      <w:tr w:rsidR="00027CBA" w:rsidRPr="00027CBA" w:rsidTr="00027CBA">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AIIIb2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Mekanisme harmonisasi aturan sebelum diundangkan</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ditemukan dokumen</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90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xml:space="preserve">: c. Keberadaan dan komprehensiveness aturan yang mengatur pertimbangan integritas dan keahlian dalam posisi strategis di institusi yang bertanggungjawab terhadap kehutanan dan lahan gambut </w:t>
            </w:r>
          </w:p>
        </w:tc>
      </w:tr>
      <w:tr w:rsidR="00027CBA" w:rsidRPr="00027CBA" w:rsidTr="00027CBA">
        <w:trPr>
          <w:trHeight w:val="390"/>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permenpan/SK Gub/Bup/Inpres 5/2004</w:t>
            </w:r>
            <w:r w:rsidRPr="00027CBA">
              <w:rPr>
                <w:rFonts w:ascii="Times New Roman" w:eastAsia="Times New Roman" w:hAnsi="Times New Roman" w:cs="Times New Roman"/>
                <w:b/>
                <w:bCs/>
                <w:color w:val="000000"/>
                <w:sz w:val="20"/>
                <w:szCs w:val="20"/>
                <w:lang w:eastAsia="id-ID"/>
              </w:rPr>
              <w:br/>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AIIIc1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Keterbukaan proses pengisian posisi strategis</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AIIIc2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Penilaian pihak ketiga (independen) dalam proses pemilihan SDM</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AIIIc3</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xml:space="preserve">Life style checking dan kewajaran harta dengan bantuan PPATK </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lastRenderedPageBreak/>
              <w:t>AIIIc4</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Kewajiban verifikasi LHKPN dengan bantuan KPK</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AIIIc5</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Batasan Conflict of Interest &amp; mekanisme yang harus dilakukan</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AIIIc6</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Pembuatan pakta integritas, pemenuhan kode etik dan kontrak kinerja</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90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d. Keberadaan dan komprehensiveness aturan yang mengatur pelaksanaan penegakan hukum dalam pengelolaan hutan dan lahan gambut di tingkat Nasional/Propinsi/Kab secara efektif dan efisien serta tidak rentan korupsi</w:t>
            </w:r>
          </w:p>
        </w:tc>
      </w:tr>
      <w:tr w:rsidR="00027CBA" w:rsidRPr="00027CBA" w:rsidTr="00027CBA">
        <w:trPr>
          <w:trHeight w:val="630"/>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terkait dengan aturan lain, SK kemenhut/ kejaksaan/Kehakiman/KPK/PPATK, Kemenkeu</w:t>
            </w:r>
            <w:r w:rsidRPr="00027CBA">
              <w:rPr>
                <w:rFonts w:ascii="Times New Roman" w:eastAsia="Times New Roman" w:hAnsi="Times New Roman" w:cs="Times New Roman"/>
                <w:b/>
                <w:bCs/>
                <w:color w:val="000000"/>
                <w:sz w:val="20"/>
                <w:szCs w:val="20"/>
                <w:lang w:eastAsia="id-ID"/>
              </w:rPr>
              <w:br/>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AIIId1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Pembenahan case manage-ment sehingga menutup celah-celah abuse of power</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AIIId2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Sistem pengawasan dan pen-disiplinan internal di lembaga penegak hukum</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80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AIIId3</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Peningkatan kapasitas aparat penegak hukum terkait isu-isu pengelolaan hutan dan lahan gambut secara lestari, kebijak-an Negara atas masyarakat adat, serta pemanfaatan instru-ment hukum lain seperti pajak, korupsi, dan anti pencucian uang untuk memberantas kejahatan kehutanan (multi-door approach);</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AIIId4</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Kewajiban koordinasi yang efektif antara aparat penegak hukum terkait dalam isu hutan dan lahan gambut dan penun-jukan leading sector yang jelas</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AIIId5</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Pemenuhan rasio jumlah penegak hukum di bidang kehutanan dan lahan gambut</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AIIId6</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Mekanisme insentif dan disinsentif untuk mencapai penaatan</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330"/>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Isu dalam PGA REDD+</w:t>
            </w:r>
          </w:p>
        </w:tc>
        <w:tc>
          <w:tcPr>
            <w:tcW w:w="5960"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IV. Pengelolaan Hutan</w:t>
            </w: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90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lastRenderedPageBreak/>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xml:space="preserve">: a. Keberadaan dan komprehensiveness aturan yang mengatur kewajiban penyusunan rencana pengelolaan hutan secara berkeadilan dan obyektif </w:t>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25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AIVd1</w:t>
            </w:r>
          </w:p>
        </w:tc>
        <w:tc>
          <w:tcPr>
            <w:tcW w:w="2127" w:type="dxa"/>
            <w:vMerge w:val="restart"/>
            <w:tcBorders>
              <w:top w:val="nil"/>
              <w:left w:val="single" w:sz="4" w:space="0" w:color="auto"/>
              <w:bottom w:val="single" w:sz="4" w:space="0" w:color="000000"/>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FF0000"/>
                <w:sz w:val="20"/>
                <w:szCs w:val="20"/>
                <w:lang w:eastAsia="id-ID"/>
              </w:rPr>
            </w:pPr>
            <w:r w:rsidRPr="00027CBA">
              <w:rPr>
                <w:rFonts w:ascii="Times New Roman" w:eastAsia="Times New Roman" w:hAnsi="Times New Roman" w:cs="Times New Roman"/>
                <w:color w:val="FF0000"/>
                <w:sz w:val="20"/>
                <w:szCs w:val="20"/>
                <w:lang w:eastAsia="id-ID"/>
              </w:rPr>
              <w:t>Tidak ada item adta dari sumber awal</w:t>
            </w:r>
          </w:p>
        </w:tc>
        <w:tc>
          <w:tcPr>
            <w:tcW w:w="1337" w:type="dxa"/>
            <w:tcBorders>
              <w:top w:val="nil"/>
              <w:left w:val="nil"/>
              <w:bottom w:val="single" w:sz="4" w:space="0" w:color="auto"/>
              <w:right w:val="single" w:sz="4" w:space="0" w:color="auto"/>
            </w:tcBorders>
            <w:shd w:val="clear" w:color="000000" w:fill="FFFF00"/>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000000" w:fill="FFFF00"/>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1659" w:type="dxa"/>
            <w:tcBorders>
              <w:top w:val="nil"/>
              <w:left w:val="nil"/>
              <w:bottom w:val="single" w:sz="4" w:space="0" w:color="auto"/>
              <w:right w:val="single" w:sz="4" w:space="0" w:color="auto"/>
            </w:tcBorders>
            <w:shd w:val="clear" w:color="000000" w:fill="FFFF00"/>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r>
      <w:tr w:rsidR="00027CBA" w:rsidRPr="00027CBA" w:rsidTr="00027CBA">
        <w:trPr>
          <w:trHeight w:val="25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AIVd2</w:t>
            </w:r>
          </w:p>
        </w:tc>
        <w:tc>
          <w:tcPr>
            <w:tcW w:w="2127" w:type="dxa"/>
            <w:vMerge/>
            <w:tcBorders>
              <w:top w:val="nil"/>
              <w:left w:val="single" w:sz="4" w:space="0" w:color="auto"/>
              <w:bottom w:val="single" w:sz="4" w:space="0" w:color="000000"/>
              <w:right w:val="single" w:sz="4" w:space="0" w:color="auto"/>
            </w:tcBorders>
            <w:vAlign w:val="center"/>
            <w:hideMark/>
          </w:tcPr>
          <w:p w:rsidR="00027CBA" w:rsidRPr="00027CBA" w:rsidRDefault="00027CBA" w:rsidP="00027CBA">
            <w:pPr>
              <w:spacing w:after="0" w:line="240" w:lineRule="auto"/>
              <w:rPr>
                <w:rFonts w:ascii="Times New Roman" w:eastAsia="Times New Roman" w:hAnsi="Times New Roman" w:cs="Times New Roman"/>
                <w:color w:val="FF0000"/>
                <w:sz w:val="20"/>
                <w:szCs w:val="20"/>
                <w:lang w:eastAsia="id-ID"/>
              </w:rPr>
            </w:pPr>
          </w:p>
        </w:tc>
        <w:tc>
          <w:tcPr>
            <w:tcW w:w="1337" w:type="dxa"/>
            <w:tcBorders>
              <w:top w:val="nil"/>
              <w:left w:val="nil"/>
              <w:bottom w:val="single" w:sz="4" w:space="0" w:color="auto"/>
              <w:right w:val="single" w:sz="4" w:space="0" w:color="auto"/>
            </w:tcBorders>
            <w:shd w:val="clear" w:color="000000" w:fill="FFFF00"/>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000000" w:fill="FFFF00"/>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1659" w:type="dxa"/>
            <w:tcBorders>
              <w:top w:val="nil"/>
              <w:left w:val="nil"/>
              <w:bottom w:val="single" w:sz="4" w:space="0" w:color="auto"/>
              <w:right w:val="single" w:sz="4" w:space="0" w:color="auto"/>
            </w:tcBorders>
            <w:shd w:val="clear" w:color="000000" w:fill="FFFF00"/>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r>
      <w:tr w:rsidR="00027CBA" w:rsidRPr="00027CBA" w:rsidTr="00027CBA">
        <w:trPr>
          <w:trHeight w:val="90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b. Keberadaan dan komprehensiveness aturan yang mengatur transparansi pengelolaan hutan dan lahan gambut</w:t>
            </w:r>
          </w:p>
        </w:tc>
      </w:tr>
      <w:tr w:rsidR="00027CBA" w:rsidRPr="00027CBA" w:rsidTr="00027CBA">
        <w:trPr>
          <w:trHeight w:val="390"/>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SK Menhut/pertanian/ SK/perda-Gub/Bup</w:t>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AIVb1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Kewajiban menyediakan seluruh informasi dalam kaitannya dengan pengelolaan hutan secara sistematis sehingga mudah diakses</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Aturan ada di Kemenhut</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AIVb2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Mewajibkan agar Badan Publik memiliki petugas khusus yang menangani permintaan informasi</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AIVb3</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AIVb4</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Terdapat pengumuman informasi tentang rencana kegiatan/proyek yang disertai dengan dokumen pendukungnya</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AIVb5</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AIVb6</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Sanksi bagi pihak-pihak yang sengaja menghambat akses publik atas informasi</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90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xml:space="preserve">: c. Keberadaan dan komprehensiveness aturan yang mengatur keterlibatan pemangku kepentingan dalam pengelolaan hutan dan lahan gambut yang  berarti </w:t>
            </w:r>
          </w:p>
        </w:tc>
      </w:tr>
      <w:tr w:rsidR="00027CBA" w:rsidRPr="00027CBA" w:rsidTr="00027CBA">
        <w:trPr>
          <w:trHeight w:val="390"/>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SK Menhut/Pertanian, SK/Perda-Gub/Bup</w:t>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lastRenderedPageBreak/>
              <w:t>AIVc1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Informasi rencana pemberian izin/pelaksanaan lelang kepada seluruh pihak yg memiliki hak serta pihak yg berkepentingan</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 kewenangan pada indikator di tingkat provinsi</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AIVc2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 kewenangan pada indikator di tingkat provinsi</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AIVc3</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Penunjukan satu petugas khusus yang bertanggungjawab mengelola masukan publik dalam proses pemberian izin/pelaksanaan lelang</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 kewenangan pada indikator di tingkat provinsi</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AIVc4</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Dokumentasi setiap masukan baik yang tertulis ataupun tidak</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 belum ada SOP</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AIVc5</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Pemberian respon yang bersifat terbuka atas setiap masukan yang ada</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 belum ada SOP</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AIVc6</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Pemberian penjelasan atas keputusan akhir yang diambil</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 belum ada SOP</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90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d. Keberadaan dan komprehensiveness aturan yang mengatur mekanisme pemberian izin pengelolaan hutan yang efisien</w:t>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AIVd1</w:t>
            </w:r>
          </w:p>
        </w:tc>
        <w:tc>
          <w:tcPr>
            <w:tcW w:w="2127" w:type="dxa"/>
            <w:vMerge w:val="restart"/>
            <w:tcBorders>
              <w:top w:val="nil"/>
              <w:left w:val="single" w:sz="4" w:space="0" w:color="auto"/>
              <w:bottom w:val="single" w:sz="4" w:space="0" w:color="000000"/>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FF0000"/>
                <w:sz w:val="20"/>
                <w:szCs w:val="20"/>
                <w:lang w:eastAsia="id-ID"/>
              </w:rPr>
            </w:pPr>
            <w:r w:rsidRPr="00027CBA">
              <w:rPr>
                <w:rFonts w:ascii="Times New Roman" w:eastAsia="Times New Roman" w:hAnsi="Times New Roman" w:cs="Times New Roman"/>
                <w:color w:val="FF0000"/>
                <w:sz w:val="20"/>
                <w:szCs w:val="20"/>
                <w:lang w:eastAsia="id-ID"/>
              </w:rPr>
              <w:t>Tidak ada item adta dari sumber awal</w:t>
            </w:r>
          </w:p>
        </w:tc>
        <w:tc>
          <w:tcPr>
            <w:tcW w:w="1337" w:type="dxa"/>
            <w:tcBorders>
              <w:top w:val="nil"/>
              <w:left w:val="nil"/>
              <w:bottom w:val="single" w:sz="4" w:space="0" w:color="auto"/>
              <w:right w:val="single" w:sz="4" w:space="0" w:color="auto"/>
            </w:tcBorders>
            <w:shd w:val="clear" w:color="000000" w:fill="FFFF00"/>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000000" w:fill="FFFF00"/>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Dishut menyatakan untuk meminta ketentuan ini ke Kementerian Kehutanan, karena izin pelepasan sepenuhnya wewenang Kemenhut</w:t>
            </w:r>
          </w:p>
        </w:tc>
        <w:tc>
          <w:tcPr>
            <w:tcW w:w="1659" w:type="dxa"/>
            <w:tcBorders>
              <w:top w:val="nil"/>
              <w:left w:val="nil"/>
              <w:bottom w:val="single" w:sz="4" w:space="0" w:color="auto"/>
              <w:right w:val="single" w:sz="4" w:space="0" w:color="auto"/>
            </w:tcBorders>
            <w:shd w:val="clear" w:color="000000" w:fill="FFFF00"/>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r>
      <w:tr w:rsidR="00027CBA" w:rsidRPr="00027CBA" w:rsidTr="00027CBA">
        <w:trPr>
          <w:trHeight w:val="25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AIVd2</w:t>
            </w:r>
          </w:p>
        </w:tc>
        <w:tc>
          <w:tcPr>
            <w:tcW w:w="2127" w:type="dxa"/>
            <w:vMerge/>
            <w:tcBorders>
              <w:top w:val="nil"/>
              <w:left w:val="single" w:sz="4" w:space="0" w:color="auto"/>
              <w:bottom w:val="single" w:sz="4" w:space="0" w:color="000000"/>
              <w:right w:val="single" w:sz="4" w:space="0" w:color="auto"/>
            </w:tcBorders>
            <w:vAlign w:val="center"/>
            <w:hideMark/>
          </w:tcPr>
          <w:p w:rsidR="00027CBA" w:rsidRPr="00027CBA" w:rsidRDefault="00027CBA" w:rsidP="00027CBA">
            <w:pPr>
              <w:spacing w:after="0" w:line="240" w:lineRule="auto"/>
              <w:rPr>
                <w:rFonts w:ascii="Times New Roman" w:eastAsia="Times New Roman" w:hAnsi="Times New Roman" w:cs="Times New Roman"/>
                <w:color w:val="FF0000"/>
                <w:sz w:val="20"/>
                <w:szCs w:val="20"/>
                <w:lang w:eastAsia="id-ID"/>
              </w:rPr>
            </w:pPr>
          </w:p>
        </w:tc>
        <w:tc>
          <w:tcPr>
            <w:tcW w:w="1337" w:type="dxa"/>
            <w:tcBorders>
              <w:top w:val="nil"/>
              <w:left w:val="nil"/>
              <w:bottom w:val="single" w:sz="4" w:space="0" w:color="auto"/>
              <w:right w:val="single" w:sz="4" w:space="0" w:color="auto"/>
            </w:tcBorders>
            <w:shd w:val="clear" w:color="000000" w:fill="FFFF00"/>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000000" w:fill="FFFF00"/>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1659" w:type="dxa"/>
            <w:tcBorders>
              <w:top w:val="nil"/>
              <w:left w:val="nil"/>
              <w:bottom w:val="single" w:sz="4" w:space="0" w:color="auto"/>
              <w:right w:val="single" w:sz="4" w:space="0" w:color="auto"/>
            </w:tcBorders>
            <w:shd w:val="clear" w:color="000000" w:fill="FFFF00"/>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69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e. Keberadaan dan komprehensiveness aturan yang mengatur mekanisme penanganan pengaduan dalam konflik pengelolaan hutan dan lahan gambu</w:t>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AIVe1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Mekanisme pengaduan (sederhana, kejelasan tenggat waktu &amp; tindakan yang telah diambil)</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ditemukan dokumen</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AIVe2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Mekanisme resolusi konflik dan penyelesaian sengketa</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xml:space="preserve">Belum ada </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AIVe3</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Mediator memiliki keahlian dan pemahaman tentang isu-isu adat/masyarakat lokal</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 data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lastRenderedPageBreak/>
              <w:t>AIVe4</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Mekanisme pengaduan masyarakat belum berjalan</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330"/>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Isu dalam PGA REDD+</w:t>
            </w:r>
          </w:p>
        </w:tc>
        <w:tc>
          <w:tcPr>
            <w:tcW w:w="5960"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V. Pengorganisasian Hutan</w:t>
            </w: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69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a. Keberadaan dan komprehensiveness aturan yang mengatur transparansi pengendalian dan penegakan hukum dalam pengelolaan hutan</w:t>
            </w:r>
          </w:p>
        </w:tc>
      </w:tr>
      <w:tr w:rsidR="00027CBA" w:rsidRPr="00027CBA" w:rsidTr="00027CBA">
        <w:trPr>
          <w:trHeight w:val="390"/>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SK Menhut/Gub/Bu</w:t>
            </w:r>
            <w:r w:rsidRPr="00027CBA">
              <w:rPr>
                <w:rFonts w:ascii="Times New Roman" w:eastAsia="Times New Roman" w:hAnsi="Times New Roman" w:cs="Times New Roman"/>
                <w:b/>
                <w:bCs/>
                <w:color w:val="000000"/>
                <w:sz w:val="20"/>
                <w:szCs w:val="20"/>
                <w:lang w:eastAsia="id-ID"/>
              </w:rPr>
              <w:br/>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AVa1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Ketersediaan seluruh informasi secara sistematis dalam kaitannya dengan pengawasan internal dan eksternal</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Aturan ini ada pada tingkat kementerian kehutanan, provinsi belum mengeluarkan SK atau apapun yang berkaitan dengan pengendalian kehutanan karena belum disahkan TGHK untuk Riau.</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53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AVa2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Terdapat aturan yang mewajibkan pemberian akses bagi publik baik secara proaktif maupun berdasarkan permintaan dalam tahap pengawasan</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AVa3</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AVa4</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Terdapat sanksi bagi pihak-pihak yg sengaja menghambat akses publik atas informasi</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69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b. Keberadaan dan komprehensiveness aturan yang mengatur pengawasan yang berintegritas dan partisipatif dalam pengelolaan hutan</w:t>
            </w:r>
          </w:p>
        </w:tc>
      </w:tr>
      <w:tr w:rsidR="00027CBA" w:rsidRPr="00027CBA" w:rsidTr="00027CBA">
        <w:trPr>
          <w:trHeight w:val="390"/>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Per/SK menhut/Gub/Bup</w:t>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AVb1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Informasi pelaksanaan kegiatan untuk memperjelas masukan publik atas suatu kasus</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AVb2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Mekanisme penerimaan pengaduan memudahkan bagi seluruh pihak (termasuk competitors) untuk menyampaikan pengaduan</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lastRenderedPageBreak/>
              <w:t>AVb3</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Dokumentasi setiap laporan pengaduan baik yang tertulis ataupun tidak</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AVb4</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Mekanisme penerimaan pengaduan memiliki jangka waktu yang jelas atas respon yang akan diberikan</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AVb5</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xml:space="preserve">Mekanisme penerimaan pengaduan menawarkan kemudahan dan kejelasan pihak yang dikontak </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AVb6</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Penunjukan satu petugas khusus yang bertanggungjawab mengelola masukan publik dalam proses pengawasan</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69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xml:space="preserve">: c. Keberadaan dan komprehensiveness aturan yang mengatur program peningkatan kapasitas masyarakat dalam pengawasan pengelolaan hutan dan lahan gambut  </w:t>
            </w:r>
            <w:r w:rsidRPr="00027CBA">
              <w:rPr>
                <w:rFonts w:ascii="Times New Roman" w:eastAsia="Times New Roman" w:hAnsi="Times New Roman" w:cs="Times New Roman"/>
                <w:b/>
                <w:bCs/>
                <w:color w:val="000000"/>
                <w:sz w:val="20"/>
                <w:szCs w:val="20"/>
                <w:lang w:eastAsia="id-ID"/>
              </w:rPr>
              <w:br/>
            </w:r>
            <w:r w:rsidRPr="00027CBA">
              <w:rPr>
                <w:rFonts w:ascii="Times New Roman" w:eastAsia="Times New Roman" w:hAnsi="Times New Roman" w:cs="Times New Roman"/>
                <w:b/>
                <w:bCs/>
                <w:color w:val="000000"/>
                <w:sz w:val="20"/>
                <w:szCs w:val="20"/>
                <w:lang w:eastAsia="id-ID"/>
              </w:rPr>
              <w:br/>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AVc1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Program pemerintah daerah dalam meningkatkan kapasitas masyarakat adat/lokal untuk turut berpartisipasi dalam proses pengawasan</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AVc2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Program pemerintahan yang lebih tinggi untuk meningkat-kan kapasitas pemerintahan yang lebih rendah dalam melakukan pengawasan</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ditemukan dokumen</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69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d. Keberadaan dan komprehensiveness aturan yang mengatur mekanisme penindaklanjutan temuan penyelewengan/indikasi korupsi yang responsif</w:t>
            </w:r>
            <w:r w:rsidRPr="00027CBA">
              <w:rPr>
                <w:rFonts w:ascii="Times New Roman" w:eastAsia="Times New Roman" w:hAnsi="Times New Roman" w:cs="Times New Roman"/>
                <w:b/>
                <w:bCs/>
                <w:color w:val="000000"/>
                <w:sz w:val="20"/>
                <w:szCs w:val="20"/>
                <w:lang w:eastAsia="id-ID"/>
              </w:rPr>
              <w:br/>
            </w:r>
            <w:r w:rsidRPr="00027CBA">
              <w:rPr>
                <w:rFonts w:ascii="Times New Roman" w:eastAsia="Times New Roman" w:hAnsi="Times New Roman" w:cs="Times New Roman"/>
                <w:b/>
                <w:bCs/>
                <w:color w:val="000000"/>
                <w:sz w:val="20"/>
                <w:szCs w:val="20"/>
                <w:lang w:eastAsia="id-ID"/>
              </w:rPr>
              <w:br/>
            </w:r>
            <w:r w:rsidRPr="00027CBA">
              <w:rPr>
                <w:rFonts w:ascii="Times New Roman" w:eastAsia="Times New Roman" w:hAnsi="Times New Roman" w:cs="Times New Roman"/>
                <w:b/>
                <w:bCs/>
                <w:color w:val="000000"/>
                <w:sz w:val="20"/>
                <w:szCs w:val="20"/>
                <w:lang w:eastAsia="id-ID"/>
              </w:rPr>
              <w:br/>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AVd1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Pelaksanaan perbaikan sistem secara partisipatif dari rekomendasi BPK dan KPK</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69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e. Keberadaan dan komprehensiveness aturan yang mengatur mekanisme multi door approach dalam penyelesaian kasus-kasus kejahatan kehutanan</w:t>
            </w:r>
            <w:r w:rsidRPr="00027CBA">
              <w:rPr>
                <w:rFonts w:ascii="Times New Roman" w:eastAsia="Times New Roman" w:hAnsi="Times New Roman" w:cs="Times New Roman"/>
                <w:b/>
                <w:bCs/>
                <w:color w:val="000000"/>
                <w:sz w:val="20"/>
                <w:szCs w:val="20"/>
                <w:lang w:eastAsia="id-ID"/>
              </w:rPr>
              <w:br/>
            </w:r>
            <w:r w:rsidRPr="00027CBA">
              <w:rPr>
                <w:rFonts w:ascii="Times New Roman" w:eastAsia="Times New Roman" w:hAnsi="Times New Roman" w:cs="Times New Roman"/>
                <w:b/>
                <w:bCs/>
                <w:color w:val="000000"/>
                <w:sz w:val="20"/>
                <w:szCs w:val="20"/>
                <w:lang w:eastAsia="id-ID"/>
              </w:rPr>
              <w:br/>
            </w:r>
            <w:r w:rsidRPr="00027CBA">
              <w:rPr>
                <w:rFonts w:ascii="Times New Roman" w:eastAsia="Times New Roman" w:hAnsi="Times New Roman" w:cs="Times New Roman"/>
                <w:b/>
                <w:bCs/>
                <w:color w:val="000000"/>
                <w:sz w:val="20"/>
                <w:szCs w:val="20"/>
                <w:lang w:eastAsia="id-ID"/>
              </w:rPr>
              <w:br/>
            </w:r>
            <w:r w:rsidRPr="00027CBA">
              <w:rPr>
                <w:rFonts w:ascii="Times New Roman" w:eastAsia="Times New Roman" w:hAnsi="Times New Roman" w:cs="Times New Roman"/>
                <w:b/>
                <w:bCs/>
                <w:color w:val="000000"/>
                <w:sz w:val="20"/>
                <w:szCs w:val="20"/>
                <w:lang w:eastAsia="id-ID"/>
              </w:rPr>
              <w:lastRenderedPageBreak/>
              <w:br/>
            </w:r>
          </w:p>
        </w:tc>
      </w:tr>
      <w:tr w:rsidR="00027CBA" w:rsidRPr="00027CBA" w:rsidTr="00027CBA">
        <w:trPr>
          <w:trHeight w:val="390"/>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lastRenderedPageBreak/>
              <w:t>Sumber Data</w:t>
            </w:r>
          </w:p>
        </w:tc>
        <w:tc>
          <w:tcPr>
            <w:tcW w:w="7619" w:type="dxa"/>
            <w:gridSpan w:val="3"/>
            <w:tcBorders>
              <w:top w:val="nil"/>
              <w:left w:val="nil"/>
              <w:bottom w:val="single" w:sz="4" w:space="0" w:color="auto"/>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aturan KLH-kehutanan (satgas illegal loging)</w:t>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AVe1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Pendekatan multi-door ap-proach antara lain terdiri dari pendekatan pidana korupsi, anti money laundering, pidana pajak, dan pidana lingkungan hidup</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Tidak ditemukan dokumen</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330"/>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Isu dalam PGA REDD+</w:t>
            </w:r>
          </w:p>
        </w:tc>
        <w:tc>
          <w:tcPr>
            <w:tcW w:w="5960"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VI. Infrastruktur REDD+</w:t>
            </w: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76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a. Keberadaan dan komprehensiveness aturan yang mengatur transparansi dalam pengembangan kebijakan dan kelembagaan REDD+</w:t>
            </w:r>
          </w:p>
        </w:tc>
      </w:tr>
      <w:tr w:rsidR="00027CBA" w:rsidRPr="00027CBA" w:rsidTr="00027CBA">
        <w:trPr>
          <w:trHeight w:val="390"/>
        </w:trPr>
        <w:tc>
          <w:tcPr>
            <w:tcW w:w="3266" w:type="dxa"/>
            <w:gridSpan w:val="2"/>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7619" w:type="dxa"/>
            <w:gridSpan w:val="3"/>
            <w:tcBorders>
              <w:top w:val="nil"/>
              <w:left w:val="nil"/>
              <w:bottom w:val="single" w:sz="4" w:space="0" w:color="auto"/>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(UKP4, Permenhut, Perda/SK Gub/Bup)</w:t>
            </w:r>
            <w:r w:rsidRPr="00027CBA">
              <w:rPr>
                <w:rFonts w:ascii="Times New Roman" w:eastAsia="Times New Roman" w:hAnsi="Times New Roman" w:cs="Times New Roman"/>
                <w:b/>
                <w:bCs/>
                <w:color w:val="000000"/>
                <w:sz w:val="20"/>
                <w:szCs w:val="20"/>
                <w:lang w:eastAsia="id-ID"/>
              </w:rPr>
              <w:br/>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AVIa1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Ketersediaan seluruh informasi dalam kaitannya dengan proses pembentukan infrastruktur, pelaksanaan dan pengawasan REDD+</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disusun</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AVIa2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Kewajiban agar Badan Publik memiliki petugas khusus yang menangani permintaan informasi publik</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disusun</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AVIa3</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Pemberian akses bagi publik baik secara proaktif maupun berdasarkan permintaan</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disusun</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AVIa4</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disusun</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AVIa5</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Sanksi bagi pihak-pihak yang sengaja menghambat akses publik atas informasi</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disusun</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76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b. Keberadaan dan komprehensiveness aturan yang mengatur penyusunan kebijakan dan kelembagaan REDD+ yang obyektif dan transparan</w:t>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153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lastRenderedPageBreak/>
              <w:t>AVIb1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Penyampaian informasi atas rencana pembentukan peraturan/kebijakan terkait REDD+ kepada seluruh pihak yg memiliki hak serta pihak yg berkepentingan</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disusun</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AVIb2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disusun</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AVIb3</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Penunjukan satu petugas khusus yang bertanggungjawab mengelola masukan publik dalam proses pembentukan kebijakan terkait REDD+;</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disusun</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AVIb4</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Dokumentasi setiap masukan baik yang tertulis ataupun tidak</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disusun</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512"/>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AVIb5</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Pemberian respon yang bersifat terbuka atas setiap masukan yang ada (metode umpan balik)</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disusun</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AVIb6</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Penjelasan atas keputusan akhir yang diambil</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disusun</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AVIb7</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Pelaksanakan seluruh proses partisipasi dalam waktu yang cukup, (minimum 45 hari kerja)</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disusun</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76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xml:space="preserve">: c. Keberadaan dan komprehensiveness aturan yang mengatur mekanisme penanganan pengaduan masyarakat dalam proses pengembangan kebijakan dan kelembagaan REDD+ </w:t>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229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AVIc1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Mekanisme pengaduan masyarakat yang memudahkan bagi seluruh pihak (termasuk competitors) untuk menyampaikan pengaduan dan mendapatkan kejelasan tindakan yang telah diambil atas pengaduan yang disampaikan dalam jangka waktu yang jelas</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lastRenderedPageBreak/>
              <w:t>AVIc2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Mekanisme resolusi konflik dan penyelesaian sengketa melalui jalur perundingan apabila terdapat perbedaan pandangan yg tajam atas suatu hal</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AVIc3</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Jasa mediator yang memiliki keahlian dan pemahaman tentang isu-isu adat</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93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xml:space="preserve">: d. Keberadaan dan komprehensiveness aturan yang mengatur program peningkatan kapasitas aparat pemerintah dan masyarakat dalam penyiapan pengembangan kebijakan dan kelembagaan REDD+  </w:t>
            </w:r>
            <w:r w:rsidRPr="00027CBA">
              <w:rPr>
                <w:rFonts w:ascii="Times New Roman" w:eastAsia="Times New Roman" w:hAnsi="Times New Roman" w:cs="Times New Roman"/>
                <w:b/>
                <w:bCs/>
                <w:color w:val="000000"/>
                <w:sz w:val="20"/>
                <w:szCs w:val="20"/>
                <w:lang w:eastAsia="id-ID"/>
              </w:rPr>
              <w:br/>
              <w:t xml:space="preserve"> </w:t>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AVId1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Program untuk meningkatkan kapasitas masyarakat adat/lokal untuk untuk memahami REDD+ serta pilihan-pilihan kebijakan yang ada</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AVId2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Program untuk peningkatan kapasitas pemerintahan yang lebih rendah untuk memahami REDD+ serta pilihan-pilihan kebijakan yang ada</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93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xml:space="preserve">: e. Keberadaan dan komprehensiveness aturan yang mengatur mekanisme tindak lanjut temuan penyelewengan/indikasi korupsi kegiatan REDD+ yang responsif </w:t>
            </w:r>
            <w:r w:rsidRPr="00027CBA">
              <w:rPr>
                <w:rFonts w:ascii="Times New Roman" w:eastAsia="Times New Roman" w:hAnsi="Times New Roman" w:cs="Times New Roman"/>
                <w:b/>
                <w:bCs/>
                <w:color w:val="000000"/>
                <w:sz w:val="20"/>
                <w:szCs w:val="20"/>
                <w:lang w:eastAsia="id-ID"/>
              </w:rPr>
              <w:br/>
              <w:t xml:space="preserve"> </w:t>
            </w:r>
            <w:r w:rsidRPr="00027CBA">
              <w:rPr>
                <w:rFonts w:ascii="Times New Roman" w:eastAsia="Times New Roman" w:hAnsi="Times New Roman" w:cs="Times New Roman"/>
                <w:b/>
                <w:bCs/>
                <w:color w:val="000000"/>
                <w:sz w:val="20"/>
                <w:szCs w:val="20"/>
                <w:lang w:eastAsia="id-ID"/>
              </w:rPr>
              <w:br/>
              <w:t xml:space="preserve"> </w:t>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AVIe1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Pelaksanaan perbaikan sistem berdasarkan rekomendasi BPK secara partisipatif</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ada untuk aspek partisipatif</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255"/>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33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4623"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165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p>
        </w:tc>
      </w:tr>
      <w:tr w:rsidR="00027CBA" w:rsidRPr="00027CBA" w:rsidTr="00027CBA">
        <w:trPr>
          <w:trHeight w:val="780"/>
        </w:trPr>
        <w:tc>
          <w:tcPr>
            <w:tcW w:w="1139"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Indikator</w:t>
            </w:r>
          </w:p>
        </w:tc>
        <w:tc>
          <w:tcPr>
            <w:tcW w:w="2127" w:type="dxa"/>
            <w:tcBorders>
              <w:top w:val="nil"/>
              <w:left w:val="nil"/>
              <w:bottom w:val="nil"/>
              <w:right w:val="nil"/>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p>
        </w:tc>
        <w:tc>
          <w:tcPr>
            <w:tcW w:w="7619" w:type="dxa"/>
            <w:gridSpan w:val="3"/>
            <w:tcBorders>
              <w:top w:val="nil"/>
              <w:left w:val="nil"/>
              <w:bottom w:val="nil"/>
              <w:right w:val="nil"/>
            </w:tcBorders>
            <w:shd w:val="clear" w:color="auto" w:fill="auto"/>
            <w:vAlign w:val="center"/>
            <w:hideMark/>
          </w:tcPr>
          <w:p w:rsidR="00027CBA" w:rsidRPr="00027CBA" w:rsidRDefault="00027CBA" w:rsidP="00027CBA">
            <w:pPr>
              <w:spacing w:after="240" w:line="240" w:lineRule="auto"/>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 f. Keberadaan dan komprehensiveness aturan yang mengatur mekanisme penanganan pengaduan dalam konflik terkait dengan kegiatan REDD+</w:t>
            </w:r>
            <w:r w:rsidRPr="00027CBA">
              <w:rPr>
                <w:rFonts w:ascii="Times New Roman" w:eastAsia="Times New Roman" w:hAnsi="Times New Roman" w:cs="Times New Roman"/>
                <w:b/>
                <w:bCs/>
                <w:color w:val="000000"/>
                <w:sz w:val="20"/>
                <w:szCs w:val="20"/>
                <w:lang w:eastAsia="id-ID"/>
              </w:rPr>
              <w:br/>
              <w:t xml:space="preserve"> </w:t>
            </w:r>
          </w:p>
        </w:tc>
      </w:tr>
      <w:tr w:rsidR="00027CBA" w:rsidRPr="00027CBA" w:rsidTr="00027CBA">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Item Data</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Data</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Sumber Dokumen Hukum dan Kebijakan</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b/>
                <w:bCs/>
                <w:color w:val="000000"/>
                <w:sz w:val="20"/>
                <w:szCs w:val="20"/>
                <w:lang w:eastAsia="id-ID"/>
              </w:rPr>
            </w:pPr>
            <w:r w:rsidRPr="00027CBA">
              <w:rPr>
                <w:rFonts w:ascii="Times New Roman" w:eastAsia="Times New Roman" w:hAnsi="Times New Roman" w:cs="Times New Roman"/>
                <w:b/>
                <w:bCs/>
                <w:color w:val="000000"/>
                <w:sz w:val="20"/>
                <w:szCs w:val="20"/>
                <w:lang w:eastAsia="id-ID"/>
              </w:rPr>
              <w:t>Kategori Data</w:t>
            </w:r>
          </w:p>
        </w:tc>
      </w:tr>
      <w:tr w:rsidR="00027CBA" w:rsidRPr="00027CBA" w:rsidTr="00027CBA">
        <w:trPr>
          <w:trHeight w:val="102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AVIf1</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Mekanisme pengaduan yang sederhana, memilik tenggat waktu yang jelas serta kejelasan tindakan yang telah diambil</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ada</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AVIf2</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xml:space="preserve">Mekanisme resolusi konflik dan penyelesaian sengketa </w:t>
            </w:r>
            <w:r w:rsidRPr="00027CBA">
              <w:rPr>
                <w:rFonts w:ascii="Times New Roman" w:eastAsia="Times New Roman" w:hAnsi="Times New Roman" w:cs="Times New Roman"/>
                <w:color w:val="000000"/>
                <w:sz w:val="20"/>
                <w:szCs w:val="20"/>
                <w:lang w:eastAsia="id-ID"/>
              </w:rPr>
              <w:lastRenderedPageBreak/>
              <w:t>melalui jalur perundingan</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lastRenderedPageBreak/>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ada</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27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lastRenderedPageBreak/>
              <w:t>AVIf3</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Mewajibkan mediator yang disediakan untuk memiliki keahlian dan pemahaman tentang isu-isu adat/masyarakat lokal</w:t>
            </w:r>
          </w:p>
        </w:tc>
        <w:tc>
          <w:tcPr>
            <w:tcW w:w="133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ada</w:t>
            </w:r>
          </w:p>
        </w:tc>
        <w:tc>
          <w:tcPr>
            <w:tcW w:w="1659"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r w:rsidR="00027CBA" w:rsidRPr="00027CBA" w:rsidTr="00027CBA">
        <w:trPr>
          <w:trHeight w:val="102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AVIf4</w:t>
            </w:r>
          </w:p>
        </w:tc>
        <w:tc>
          <w:tcPr>
            <w:tcW w:w="2127" w:type="dxa"/>
            <w:tcBorders>
              <w:top w:val="nil"/>
              <w:left w:val="nil"/>
              <w:bottom w:val="single" w:sz="4" w:space="0" w:color="auto"/>
              <w:right w:val="single" w:sz="4" w:space="0" w:color="auto"/>
            </w:tcBorders>
            <w:shd w:val="clear" w:color="auto" w:fill="auto"/>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337"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 </w:t>
            </w:r>
          </w:p>
        </w:tc>
        <w:tc>
          <w:tcPr>
            <w:tcW w:w="4623"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Belum ada</w:t>
            </w:r>
          </w:p>
        </w:tc>
        <w:tc>
          <w:tcPr>
            <w:tcW w:w="1659" w:type="dxa"/>
            <w:tcBorders>
              <w:top w:val="nil"/>
              <w:left w:val="nil"/>
              <w:bottom w:val="single" w:sz="4" w:space="0" w:color="auto"/>
              <w:right w:val="single" w:sz="4" w:space="0" w:color="auto"/>
            </w:tcBorders>
            <w:shd w:val="clear" w:color="auto" w:fill="auto"/>
            <w:noWrap/>
            <w:vAlign w:val="center"/>
            <w:hideMark/>
          </w:tcPr>
          <w:p w:rsidR="00027CBA" w:rsidRPr="00027CBA" w:rsidRDefault="00027CBA" w:rsidP="00027CBA">
            <w:pPr>
              <w:spacing w:after="0" w:line="240" w:lineRule="auto"/>
              <w:jc w:val="center"/>
              <w:rPr>
                <w:rFonts w:ascii="Times New Roman" w:eastAsia="Times New Roman" w:hAnsi="Times New Roman" w:cs="Times New Roman"/>
                <w:color w:val="000000"/>
                <w:sz w:val="20"/>
                <w:szCs w:val="20"/>
                <w:lang w:eastAsia="id-ID"/>
              </w:rPr>
            </w:pPr>
            <w:r w:rsidRPr="00027CBA">
              <w:rPr>
                <w:rFonts w:ascii="Times New Roman" w:eastAsia="Times New Roman" w:hAnsi="Times New Roman" w:cs="Times New Roman"/>
                <w:color w:val="000000"/>
                <w:sz w:val="20"/>
                <w:szCs w:val="20"/>
                <w:lang w:eastAsia="id-ID"/>
              </w:rPr>
              <w:t>1</w:t>
            </w:r>
          </w:p>
        </w:tc>
      </w:tr>
    </w:tbl>
    <w:p w:rsidR="00027CBA" w:rsidRDefault="00027CBA"/>
    <w:sectPr w:rsidR="00027CBA"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27CBA"/>
    <w:rsid w:val="0026067C"/>
    <w:rsid w:val="00371747"/>
    <w:rsid w:val="004165D1"/>
    <w:rsid w:val="006E5970"/>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74211956">
      <w:bodyDiv w:val="1"/>
      <w:marLeft w:val="0"/>
      <w:marRight w:val="0"/>
      <w:marTop w:val="0"/>
      <w:marBottom w:val="0"/>
      <w:divBdr>
        <w:top w:val="none" w:sz="0" w:space="0" w:color="auto"/>
        <w:left w:val="none" w:sz="0" w:space="0" w:color="auto"/>
        <w:bottom w:val="none" w:sz="0" w:space="0" w:color="auto"/>
        <w:right w:val="none" w:sz="0" w:space="0" w:color="auto"/>
      </w:divBdr>
    </w:div>
    <w:div w:id="320499649">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14</Pages>
  <Words>3521</Words>
  <Characters>20072</Characters>
  <Application>Microsoft Office Word</Application>
  <DocSecurity>0</DocSecurity>
  <Lines>167</Lines>
  <Paragraphs>47</Paragraphs>
  <ScaleCrop>false</ScaleCrop>
  <Company/>
  <LinksUpToDate>false</LinksUpToDate>
  <CharactersWithSpaces>23546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2</cp:revision>
  <dcterms:created xsi:type="dcterms:W3CDTF">2012-10-16T01:42:00Z</dcterms:created>
  <dcterms:modified xsi:type="dcterms:W3CDTF">2012-10-16T10:06:00Z</dcterms:modified>
</cp:coreProperties>
</file>